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44" w:rsidRPr="002A2244" w:rsidRDefault="002A2244" w:rsidP="002A2244">
      <w:pPr>
        <w:spacing w:line="360" w:lineRule="auto"/>
        <w:rPr>
          <w:rFonts w:hint="eastAsia"/>
          <w:sz w:val="24"/>
          <w:szCs w:val="24"/>
        </w:rPr>
      </w:pPr>
      <w:r w:rsidRPr="002A2244">
        <w:rPr>
          <w:rFonts w:hint="eastAsia"/>
          <w:sz w:val="24"/>
          <w:szCs w:val="24"/>
        </w:rPr>
        <w:t>会务公司酒店报价必须达到以下标准：</w:t>
      </w:r>
    </w:p>
    <w:p w:rsidR="002A2244" w:rsidRPr="002A2244" w:rsidRDefault="002A2244" w:rsidP="002A2244">
      <w:pPr>
        <w:spacing w:line="360" w:lineRule="auto"/>
        <w:rPr>
          <w:rFonts w:hint="eastAsia"/>
          <w:sz w:val="24"/>
          <w:szCs w:val="24"/>
        </w:rPr>
      </w:pPr>
      <w:r w:rsidRPr="002A2244">
        <w:rPr>
          <w:rFonts w:hint="eastAsia"/>
          <w:sz w:val="24"/>
          <w:szCs w:val="24"/>
        </w:rPr>
        <w:t>1.</w:t>
      </w:r>
      <w:r w:rsidRPr="002A2244">
        <w:rPr>
          <w:rFonts w:hint="eastAsia"/>
          <w:sz w:val="24"/>
          <w:szCs w:val="24"/>
        </w:rPr>
        <w:t>酒店</w:t>
      </w:r>
      <w:r>
        <w:rPr>
          <w:rFonts w:hint="eastAsia"/>
          <w:sz w:val="24"/>
          <w:szCs w:val="24"/>
        </w:rPr>
        <w:t>选址为河北石家庄，酒店标准定位</w:t>
      </w:r>
      <w:r w:rsidRPr="002A2244">
        <w:rPr>
          <w:rFonts w:hint="eastAsia"/>
          <w:sz w:val="24"/>
          <w:szCs w:val="24"/>
        </w:rPr>
        <w:t>为四星标准起</w:t>
      </w:r>
      <w:r>
        <w:rPr>
          <w:rFonts w:hint="eastAsia"/>
          <w:sz w:val="24"/>
          <w:szCs w:val="24"/>
        </w:rPr>
        <w:t>，</w:t>
      </w:r>
      <w:r w:rsidRPr="002A2244">
        <w:rPr>
          <w:rFonts w:hint="eastAsia"/>
          <w:sz w:val="24"/>
          <w:szCs w:val="24"/>
        </w:rPr>
        <w:t>具备可以举办</w:t>
      </w:r>
      <w:r w:rsidRPr="002A2244">
        <w:rPr>
          <w:rFonts w:hint="eastAsia"/>
          <w:sz w:val="24"/>
          <w:szCs w:val="24"/>
        </w:rPr>
        <w:t>550</w:t>
      </w:r>
      <w:r w:rsidRPr="002A2244">
        <w:rPr>
          <w:rFonts w:hint="eastAsia"/>
          <w:sz w:val="24"/>
          <w:szCs w:val="24"/>
        </w:rPr>
        <w:t>到</w:t>
      </w:r>
      <w:r w:rsidRPr="002A2244">
        <w:rPr>
          <w:rFonts w:hint="eastAsia"/>
          <w:sz w:val="24"/>
          <w:szCs w:val="24"/>
        </w:rPr>
        <w:t>600</w:t>
      </w:r>
      <w:r w:rsidRPr="002A2244">
        <w:rPr>
          <w:rFonts w:hint="eastAsia"/>
          <w:sz w:val="24"/>
          <w:szCs w:val="24"/>
        </w:rPr>
        <w:t>人大会的接待能力</w:t>
      </w:r>
      <w:r>
        <w:rPr>
          <w:rFonts w:hint="eastAsia"/>
          <w:sz w:val="24"/>
          <w:szCs w:val="24"/>
        </w:rPr>
        <w:t>。</w:t>
      </w:r>
    </w:p>
    <w:p w:rsidR="002A2244" w:rsidRPr="002A2244" w:rsidRDefault="002A2244" w:rsidP="002A2244">
      <w:pPr>
        <w:spacing w:line="360" w:lineRule="auto"/>
        <w:rPr>
          <w:rFonts w:hint="eastAsia"/>
          <w:sz w:val="24"/>
          <w:szCs w:val="24"/>
        </w:rPr>
      </w:pPr>
      <w:r w:rsidRPr="002A2244">
        <w:rPr>
          <w:rFonts w:hint="eastAsia"/>
          <w:sz w:val="24"/>
          <w:szCs w:val="24"/>
        </w:rPr>
        <w:t>2.</w:t>
      </w:r>
      <w:r w:rsidRPr="002A2244">
        <w:rPr>
          <w:rFonts w:hint="eastAsia"/>
          <w:sz w:val="24"/>
          <w:szCs w:val="24"/>
        </w:rPr>
        <w:t>酒店房价尽量控制在</w:t>
      </w:r>
      <w:r w:rsidRPr="002A2244">
        <w:rPr>
          <w:rFonts w:hint="eastAsia"/>
          <w:sz w:val="24"/>
          <w:szCs w:val="24"/>
        </w:rPr>
        <w:t>400</w:t>
      </w:r>
      <w:r w:rsidRPr="002A2244">
        <w:rPr>
          <w:rFonts w:hint="eastAsia"/>
          <w:sz w:val="24"/>
          <w:szCs w:val="24"/>
        </w:rPr>
        <w:t>以内</w:t>
      </w:r>
    </w:p>
    <w:p w:rsidR="002A2244" w:rsidRPr="002A2244" w:rsidRDefault="002A2244" w:rsidP="002A2244">
      <w:pPr>
        <w:spacing w:line="360" w:lineRule="auto"/>
        <w:rPr>
          <w:rFonts w:hint="eastAsia"/>
          <w:sz w:val="24"/>
          <w:szCs w:val="24"/>
        </w:rPr>
      </w:pPr>
      <w:r w:rsidRPr="002A2244">
        <w:rPr>
          <w:rFonts w:hint="eastAsia"/>
          <w:sz w:val="24"/>
          <w:szCs w:val="24"/>
        </w:rPr>
        <w:t>3.</w:t>
      </w:r>
      <w:r w:rsidRPr="002A2244">
        <w:rPr>
          <w:rFonts w:hint="eastAsia"/>
          <w:sz w:val="24"/>
          <w:szCs w:val="24"/>
        </w:rPr>
        <w:t>会议时酒店住房，已定</w:t>
      </w:r>
      <w:proofErr w:type="gramStart"/>
      <w:r w:rsidRPr="002A2244">
        <w:rPr>
          <w:rFonts w:hint="eastAsia"/>
          <w:sz w:val="24"/>
          <w:szCs w:val="24"/>
        </w:rPr>
        <w:t>房间单标统一价格价格</w:t>
      </w:r>
      <w:proofErr w:type="gramEnd"/>
      <w:r w:rsidRPr="002A2244">
        <w:rPr>
          <w:rFonts w:hint="eastAsia"/>
          <w:sz w:val="24"/>
          <w:szCs w:val="24"/>
        </w:rPr>
        <w:t>不</w:t>
      </w:r>
      <w:proofErr w:type="gramStart"/>
      <w:r w:rsidRPr="002A2244">
        <w:rPr>
          <w:rFonts w:hint="eastAsia"/>
          <w:sz w:val="24"/>
          <w:szCs w:val="24"/>
        </w:rPr>
        <w:t>得以标间不够</w:t>
      </w:r>
      <w:proofErr w:type="gramEnd"/>
      <w:r w:rsidRPr="002A2244">
        <w:rPr>
          <w:rFonts w:hint="eastAsia"/>
          <w:sz w:val="24"/>
          <w:szCs w:val="24"/>
        </w:rPr>
        <w:t>或者其他原因对房间价格进行涨价，临时增加安排其他房型则另算。</w:t>
      </w:r>
    </w:p>
    <w:p w:rsidR="002A2244" w:rsidRPr="002A2244" w:rsidRDefault="002A2244" w:rsidP="002A2244">
      <w:pPr>
        <w:spacing w:line="360" w:lineRule="auto"/>
        <w:rPr>
          <w:rFonts w:hint="eastAsia"/>
          <w:sz w:val="24"/>
          <w:szCs w:val="24"/>
        </w:rPr>
      </w:pPr>
      <w:r w:rsidRPr="002A224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.</w:t>
      </w:r>
      <w:r w:rsidRPr="002A2244">
        <w:rPr>
          <w:rFonts w:hint="eastAsia"/>
          <w:sz w:val="24"/>
          <w:szCs w:val="24"/>
        </w:rPr>
        <w:t>若因疫情</w:t>
      </w:r>
      <w:r>
        <w:rPr>
          <w:rFonts w:hint="eastAsia"/>
          <w:sz w:val="24"/>
          <w:szCs w:val="24"/>
        </w:rPr>
        <w:t>等不可</w:t>
      </w:r>
      <w:proofErr w:type="gramStart"/>
      <w:r>
        <w:rPr>
          <w:rFonts w:hint="eastAsia"/>
          <w:sz w:val="24"/>
          <w:szCs w:val="24"/>
        </w:rPr>
        <w:t>控</w:t>
      </w:r>
      <w:r w:rsidRPr="002A2244">
        <w:rPr>
          <w:rFonts w:hint="eastAsia"/>
          <w:sz w:val="24"/>
          <w:szCs w:val="24"/>
        </w:rPr>
        <w:t>原因</w:t>
      </w:r>
      <w:proofErr w:type="gramEnd"/>
      <w:r w:rsidRPr="002A2244">
        <w:rPr>
          <w:rFonts w:hint="eastAsia"/>
          <w:sz w:val="24"/>
          <w:szCs w:val="24"/>
        </w:rPr>
        <w:t>不能举办则全款退回</w:t>
      </w:r>
    </w:p>
    <w:p w:rsidR="002A2244" w:rsidRPr="002A2244" w:rsidRDefault="002A2244" w:rsidP="002A2244">
      <w:pPr>
        <w:spacing w:line="360" w:lineRule="auto"/>
        <w:rPr>
          <w:rFonts w:hint="eastAsia"/>
          <w:sz w:val="24"/>
          <w:szCs w:val="24"/>
        </w:rPr>
      </w:pPr>
      <w:r w:rsidRPr="002A2244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会议厅、</w:t>
      </w:r>
      <w:r w:rsidRPr="002A2244">
        <w:rPr>
          <w:rFonts w:hint="eastAsia"/>
          <w:sz w:val="24"/>
          <w:szCs w:val="24"/>
        </w:rPr>
        <w:t>晚宴厅可具备</w:t>
      </w:r>
      <w:r>
        <w:rPr>
          <w:rFonts w:hint="eastAsia"/>
          <w:sz w:val="24"/>
          <w:szCs w:val="24"/>
        </w:rPr>
        <w:t>55-60</w:t>
      </w:r>
      <w:r>
        <w:rPr>
          <w:rFonts w:hint="eastAsia"/>
          <w:sz w:val="24"/>
          <w:szCs w:val="24"/>
        </w:rPr>
        <w:t>桌</w:t>
      </w:r>
      <w:r w:rsidRPr="002A2244">
        <w:rPr>
          <w:rFonts w:hint="eastAsia"/>
          <w:sz w:val="24"/>
          <w:szCs w:val="24"/>
        </w:rPr>
        <w:t>围桌场地</w:t>
      </w:r>
      <w:r>
        <w:rPr>
          <w:rFonts w:hint="eastAsia"/>
          <w:sz w:val="24"/>
          <w:szCs w:val="24"/>
        </w:rPr>
        <w:t>，可课桌</w:t>
      </w:r>
      <w:r w:rsidR="00744EFA">
        <w:rPr>
          <w:rFonts w:hint="eastAsia"/>
          <w:sz w:val="24"/>
          <w:szCs w:val="24"/>
        </w:rPr>
        <w:t>式</w:t>
      </w:r>
      <w:r>
        <w:rPr>
          <w:rFonts w:hint="eastAsia"/>
          <w:sz w:val="24"/>
          <w:szCs w:val="24"/>
        </w:rPr>
        <w:t>摆放</w:t>
      </w:r>
      <w:r>
        <w:rPr>
          <w:rFonts w:hint="eastAsia"/>
          <w:sz w:val="24"/>
          <w:szCs w:val="24"/>
        </w:rPr>
        <w:t>550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-600</w:t>
      </w:r>
      <w:r>
        <w:rPr>
          <w:rFonts w:hint="eastAsia"/>
          <w:sz w:val="24"/>
          <w:szCs w:val="24"/>
        </w:rPr>
        <w:t>人开会</w:t>
      </w:r>
    </w:p>
    <w:p w:rsidR="002A2244" w:rsidRPr="002A2244" w:rsidRDefault="002A2244" w:rsidP="002A2244">
      <w:pPr>
        <w:spacing w:line="360" w:lineRule="auto"/>
        <w:rPr>
          <w:rFonts w:hint="eastAsia"/>
          <w:sz w:val="24"/>
          <w:szCs w:val="24"/>
        </w:rPr>
      </w:pPr>
      <w:r w:rsidRPr="002A2244">
        <w:rPr>
          <w:rFonts w:hint="eastAsia"/>
          <w:sz w:val="24"/>
          <w:szCs w:val="24"/>
        </w:rPr>
        <w:t>6.</w:t>
      </w:r>
      <w:proofErr w:type="gramStart"/>
      <w:r w:rsidRPr="002A2244">
        <w:rPr>
          <w:rFonts w:hint="eastAsia"/>
          <w:sz w:val="24"/>
          <w:szCs w:val="24"/>
        </w:rPr>
        <w:t>餐标按</w:t>
      </w:r>
      <w:proofErr w:type="gramEnd"/>
      <w:r w:rsidRPr="002A2244">
        <w:rPr>
          <w:rFonts w:hint="eastAsia"/>
          <w:sz w:val="24"/>
          <w:szCs w:val="24"/>
        </w:rPr>
        <w:t>围桌</w:t>
      </w:r>
      <w:r w:rsidRPr="002A2244">
        <w:rPr>
          <w:rFonts w:hint="eastAsia"/>
          <w:sz w:val="24"/>
          <w:szCs w:val="24"/>
        </w:rPr>
        <w:t>10</w:t>
      </w:r>
      <w:r w:rsidRPr="002A2244">
        <w:rPr>
          <w:rFonts w:hint="eastAsia"/>
          <w:sz w:val="24"/>
          <w:szCs w:val="24"/>
        </w:rPr>
        <w:t>人起步价计算，自助餐则按每人每餐报价</w:t>
      </w:r>
    </w:p>
    <w:p w:rsidR="002A2244" w:rsidRDefault="002A2244" w:rsidP="002A2244">
      <w:pPr>
        <w:spacing w:line="360" w:lineRule="auto"/>
        <w:rPr>
          <w:rFonts w:hint="eastAsia"/>
          <w:sz w:val="24"/>
          <w:szCs w:val="24"/>
        </w:rPr>
      </w:pPr>
      <w:r w:rsidRPr="002A2244">
        <w:rPr>
          <w:rFonts w:hint="eastAsia"/>
          <w:sz w:val="24"/>
          <w:szCs w:val="24"/>
        </w:rPr>
        <w:t>7.</w:t>
      </w:r>
      <w:r w:rsidRPr="002A2244">
        <w:rPr>
          <w:rFonts w:hint="eastAsia"/>
          <w:sz w:val="24"/>
          <w:szCs w:val="24"/>
        </w:rPr>
        <w:t>会议暂定</w:t>
      </w:r>
      <w:r>
        <w:rPr>
          <w:rFonts w:hint="eastAsia"/>
          <w:sz w:val="24"/>
          <w:szCs w:val="24"/>
        </w:rPr>
        <w:t>550</w:t>
      </w:r>
      <w:r w:rsidRPr="002A2244">
        <w:rPr>
          <w:rFonts w:hint="eastAsia"/>
          <w:sz w:val="24"/>
          <w:szCs w:val="24"/>
        </w:rPr>
        <w:t>人</w:t>
      </w:r>
    </w:p>
    <w:p w:rsidR="002A2244" w:rsidRDefault="002A2244" w:rsidP="002A224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</w:t>
      </w:r>
      <w:r>
        <w:rPr>
          <w:rFonts w:hint="eastAsia"/>
          <w:sz w:val="24"/>
          <w:szCs w:val="24"/>
        </w:rPr>
        <w:t>会议相关酒店价格，餐费报价必须是开票价格，不允许另外再计算税费。</w:t>
      </w:r>
    </w:p>
    <w:p w:rsidR="002A2244" w:rsidRDefault="002A2244" w:rsidP="002A224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</w:t>
      </w:r>
      <w:r>
        <w:rPr>
          <w:rFonts w:hint="eastAsia"/>
          <w:sz w:val="24"/>
          <w:szCs w:val="24"/>
        </w:rPr>
        <w:t>会议相关要求：第一天报道，第二天会议，第三天学习，第四天退房，需要三天住宿，以及两餐自助餐，和一个围桌晚宴。</w:t>
      </w:r>
    </w:p>
    <w:p w:rsidR="00744EFA" w:rsidRDefault="00744EFA" w:rsidP="002A224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．投标书必须包含营业执照，廉洁承诺书，会务报价单三项</w:t>
      </w:r>
      <w:proofErr w:type="gramStart"/>
      <w:r>
        <w:rPr>
          <w:rFonts w:hint="eastAsia"/>
          <w:sz w:val="24"/>
          <w:szCs w:val="24"/>
        </w:rPr>
        <w:t>极其他</w:t>
      </w:r>
      <w:proofErr w:type="gramEnd"/>
      <w:r>
        <w:rPr>
          <w:rFonts w:hint="eastAsia"/>
          <w:sz w:val="24"/>
          <w:szCs w:val="24"/>
        </w:rPr>
        <w:t>证明性文件。</w:t>
      </w:r>
    </w:p>
    <w:p w:rsidR="002A2244" w:rsidRDefault="002A2244" w:rsidP="002A224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请按以下表格填报：</w:t>
      </w:r>
    </w:p>
    <w:p w:rsidR="002A2244" w:rsidRDefault="00744EFA" w:rsidP="002A224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已定好价格得项目按既定项目价格报价，不能低于此餐标，也不能超过最高餐标：人均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元。</w:t>
      </w:r>
      <w:proofErr w:type="gramStart"/>
      <w:r>
        <w:rPr>
          <w:rFonts w:hint="eastAsia"/>
          <w:sz w:val="24"/>
          <w:szCs w:val="24"/>
        </w:rPr>
        <w:t>标红处</w:t>
      </w:r>
      <w:proofErr w:type="gramEnd"/>
      <w:r>
        <w:rPr>
          <w:rFonts w:hint="eastAsia"/>
          <w:sz w:val="24"/>
          <w:szCs w:val="24"/>
        </w:rPr>
        <w:t>需要自行填写。</w:t>
      </w:r>
    </w:p>
    <w:p w:rsidR="002A2244" w:rsidRPr="00744EFA" w:rsidRDefault="002A2244" w:rsidP="002A2244">
      <w:pPr>
        <w:spacing w:line="360" w:lineRule="auto"/>
        <w:ind w:firstLineChars="1100" w:firstLine="2640"/>
        <w:rPr>
          <w:rFonts w:hint="eastAsia"/>
          <w:color w:val="FF0000"/>
          <w:sz w:val="24"/>
          <w:szCs w:val="24"/>
        </w:rPr>
      </w:pPr>
      <w:r w:rsidRPr="00744EFA">
        <w:rPr>
          <w:rFonts w:hint="eastAsia"/>
          <w:color w:val="FF0000"/>
          <w:sz w:val="24"/>
          <w:szCs w:val="24"/>
        </w:rPr>
        <w:t>XXX</w:t>
      </w:r>
      <w:r>
        <w:rPr>
          <w:rFonts w:hint="eastAsia"/>
          <w:sz w:val="24"/>
          <w:szCs w:val="24"/>
        </w:rPr>
        <w:t>酒店会场及住房档期时间</w:t>
      </w:r>
      <w:r w:rsidR="00744EFA">
        <w:rPr>
          <w:rFonts w:hint="eastAsia"/>
          <w:sz w:val="24"/>
          <w:szCs w:val="24"/>
        </w:rPr>
        <w:t>为：</w:t>
      </w:r>
      <w:r w:rsidRPr="00744EFA">
        <w:rPr>
          <w:rFonts w:hint="eastAsia"/>
          <w:color w:val="FF0000"/>
          <w:sz w:val="24"/>
          <w:szCs w:val="24"/>
        </w:rPr>
        <w:t>XX_XX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2015"/>
        <w:gridCol w:w="1266"/>
        <w:gridCol w:w="636"/>
        <w:gridCol w:w="1304"/>
        <w:gridCol w:w="2245"/>
      </w:tblGrid>
      <w:tr w:rsidR="002A2244" w:rsidRPr="002A2244" w:rsidTr="002A2244">
        <w:trPr>
          <w:trHeight w:val="888"/>
        </w:trPr>
        <w:tc>
          <w:tcPr>
            <w:tcW w:w="620" w:type="pct"/>
            <w:shd w:val="clear" w:color="000000" w:fill="C5E0B2"/>
            <w:noWrap/>
            <w:vAlign w:val="center"/>
            <w:hideMark/>
          </w:tcPr>
          <w:p w:rsidR="002A2244" w:rsidRPr="002A2244" w:rsidRDefault="002A2244" w:rsidP="002A22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2A22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2" w:type="pct"/>
            <w:shd w:val="clear" w:color="000000" w:fill="C5E0B2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743" w:type="pct"/>
            <w:shd w:val="clear" w:color="000000" w:fill="C5E0B2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373" w:type="pct"/>
            <w:shd w:val="clear" w:color="000000" w:fill="C5E0B2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65" w:type="pct"/>
            <w:shd w:val="clear" w:color="000000" w:fill="C5E0B2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1317" w:type="pct"/>
            <w:shd w:val="clear" w:color="000000" w:fill="C5E0B2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</w:tr>
      <w:tr w:rsidR="002A2244" w:rsidRPr="002A2244" w:rsidTr="002A2244">
        <w:trPr>
          <w:trHeight w:val="696"/>
        </w:trPr>
        <w:tc>
          <w:tcPr>
            <w:tcW w:w="620" w:type="pct"/>
            <w:vMerge w:val="restart"/>
            <w:shd w:val="clear" w:color="auto" w:fill="auto"/>
            <w:noWrap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2A2244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酒店费用</w:t>
            </w: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酒店（</w:t>
            </w:r>
            <w:r w:rsidRPr="002A2244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XXXXXX</w:t>
            </w:r>
            <w:r w:rsidRPr="002A224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43" w:type="pct"/>
            <w:shd w:val="clear" w:color="000000" w:fill="FFFFFF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2A2244" w:rsidRPr="002A2244" w:rsidRDefault="00B05FEB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每天最少有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250个标间</w:t>
            </w:r>
            <w:proofErr w:type="gramEnd"/>
          </w:p>
        </w:tc>
      </w:tr>
      <w:tr w:rsidR="002A2244" w:rsidRPr="002A2244" w:rsidTr="002A2244">
        <w:trPr>
          <w:trHeight w:val="348"/>
        </w:trPr>
        <w:tc>
          <w:tcPr>
            <w:tcW w:w="620" w:type="pct"/>
            <w:vMerge/>
            <w:vAlign w:val="center"/>
            <w:hideMark/>
          </w:tcPr>
          <w:p w:rsidR="002A2244" w:rsidRPr="002A2244" w:rsidRDefault="002A2244" w:rsidP="002A22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大会场</w:t>
            </w:r>
          </w:p>
        </w:tc>
        <w:tc>
          <w:tcPr>
            <w:tcW w:w="743" w:type="pct"/>
            <w:shd w:val="clear" w:color="000000" w:fill="FFFFFF"/>
            <w:vAlign w:val="center"/>
            <w:hideMark/>
          </w:tcPr>
          <w:p w:rsidR="002A2244" w:rsidRPr="002A2244" w:rsidRDefault="002A2244" w:rsidP="00744EF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A2244" w:rsidRPr="002A2244" w:rsidRDefault="002A2244" w:rsidP="00744EF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2A2244" w:rsidRPr="002A2244" w:rsidRDefault="002A2244" w:rsidP="00744E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1天</w:t>
            </w:r>
            <w:r w:rsidR="00744E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必须含晚宴用屏幕</w:t>
            </w:r>
          </w:p>
        </w:tc>
      </w:tr>
      <w:tr w:rsidR="002A2244" w:rsidRPr="002A2244" w:rsidTr="002A2244">
        <w:trPr>
          <w:trHeight w:val="348"/>
        </w:trPr>
        <w:tc>
          <w:tcPr>
            <w:tcW w:w="620" w:type="pct"/>
            <w:vMerge/>
            <w:vAlign w:val="center"/>
            <w:hideMark/>
          </w:tcPr>
          <w:p w:rsidR="002A2244" w:rsidRPr="002A2244" w:rsidRDefault="002A2244" w:rsidP="002A22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自助餐</w:t>
            </w:r>
          </w:p>
        </w:tc>
        <w:tc>
          <w:tcPr>
            <w:tcW w:w="743" w:type="pct"/>
            <w:shd w:val="clear" w:color="000000" w:fill="FFFFFF"/>
            <w:vAlign w:val="center"/>
            <w:hideMark/>
          </w:tcPr>
          <w:p w:rsidR="002A2244" w:rsidRPr="002A2244" w:rsidRDefault="002A2244" w:rsidP="00744EF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224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¥</w:t>
            </w:r>
            <w:r w:rsidR="00744EF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12</w:t>
            </w:r>
            <w:r w:rsidRPr="002A224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8.00</w:t>
            </w:r>
            <w:r w:rsidR="00744EF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——</w:t>
            </w:r>
            <w:r w:rsidR="00744EFA" w:rsidRPr="002A224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¥</w:t>
            </w:r>
            <w:r w:rsidR="00744EF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1100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报道当天晚上和会议的午餐</w:t>
            </w:r>
          </w:p>
        </w:tc>
      </w:tr>
      <w:tr w:rsidR="002A2244" w:rsidRPr="002A2244" w:rsidTr="002A2244">
        <w:trPr>
          <w:trHeight w:val="348"/>
        </w:trPr>
        <w:tc>
          <w:tcPr>
            <w:tcW w:w="620" w:type="pct"/>
            <w:vMerge/>
            <w:vAlign w:val="center"/>
            <w:hideMark/>
          </w:tcPr>
          <w:p w:rsidR="002A2244" w:rsidRPr="002A2244" w:rsidRDefault="002A2244" w:rsidP="002A22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2A224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会议茶歇</w:t>
            </w:r>
            <w:proofErr w:type="gramEnd"/>
          </w:p>
        </w:tc>
        <w:tc>
          <w:tcPr>
            <w:tcW w:w="743" w:type="pct"/>
            <w:shd w:val="clear" w:color="000000" w:fill="FFFFFF"/>
            <w:vAlign w:val="center"/>
            <w:hideMark/>
          </w:tcPr>
          <w:p w:rsidR="002A2244" w:rsidRPr="002A2244" w:rsidRDefault="00744EFA" w:rsidP="002A224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15000</w:t>
            </w:r>
            <w:r w:rsidR="00B05FE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——20000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2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上下午各一份</w:t>
            </w:r>
          </w:p>
        </w:tc>
      </w:tr>
      <w:tr w:rsidR="002A2244" w:rsidRPr="002A2244" w:rsidTr="002A2244">
        <w:trPr>
          <w:trHeight w:val="348"/>
        </w:trPr>
        <w:tc>
          <w:tcPr>
            <w:tcW w:w="620" w:type="pct"/>
            <w:vMerge/>
            <w:vAlign w:val="center"/>
            <w:hideMark/>
          </w:tcPr>
          <w:p w:rsidR="002A2244" w:rsidRPr="002A2244" w:rsidRDefault="002A2244" w:rsidP="002A22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报道当日嘉宾围餐</w:t>
            </w:r>
          </w:p>
        </w:tc>
        <w:tc>
          <w:tcPr>
            <w:tcW w:w="743" w:type="pct"/>
            <w:shd w:val="clear" w:color="000000" w:fill="FFFFFF"/>
            <w:vAlign w:val="center"/>
            <w:hideMark/>
          </w:tcPr>
          <w:p w:rsidR="002A2244" w:rsidRPr="002A2244" w:rsidRDefault="00744EFA" w:rsidP="002A224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2000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预计2桌招待</w:t>
            </w:r>
          </w:p>
        </w:tc>
      </w:tr>
      <w:tr w:rsidR="002A2244" w:rsidRPr="002A2244" w:rsidTr="002A2244">
        <w:trPr>
          <w:trHeight w:val="348"/>
        </w:trPr>
        <w:tc>
          <w:tcPr>
            <w:tcW w:w="620" w:type="pct"/>
            <w:vMerge/>
            <w:vAlign w:val="center"/>
            <w:hideMark/>
          </w:tcPr>
          <w:p w:rsidR="002A2244" w:rsidRPr="002A2244" w:rsidRDefault="002A2244" w:rsidP="002A22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大会晚宴</w:t>
            </w:r>
          </w:p>
        </w:tc>
        <w:tc>
          <w:tcPr>
            <w:tcW w:w="743" w:type="pct"/>
            <w:shd w:val="clear" w:color="000000" w:fill="FFFFFF"/>
            <w:vAlign w:val="center"/>
            <w:hideMark/>
          </w:tcPr>
          <w:p w:rsidR="002A2244" w:rsidRPr="002A2244" w:rsidRDefault="002A2244" w:rsidP="00744EF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224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¥1,</w:t>
            </w:r>
            <w:r w:rsidR="00744EF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8</w:t>
            </w:r>
            <w:r w:rsidRPr="002A224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88.00</w:t>
            </w:r>
            <w:r w:rsidR="00B05FE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——2000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55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Cs w:val="21"/>
              </w:rPr>
            </w:pP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A224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围餐</w:t>
            </w:r>
          </w:p>
        </w:tc>
      </w:tr>
      <w:tr w:rsidR="002A2244" w:rsidRPr="002A2244" w:rsidTr="002A2244">
        <w:trPr>
          <w:trHeight w:val="348"/>
        </w:trPr>
        <w:tc>
          <w:tcPr>
            <w:tcW w:w="620" w:type="pct"/>
            <w:vMerge w:val="restart"/>
            <w:vAlign w:val="center"/>
            <w:hideMark/>
          </w:tcPr>
          <w:p w:rsidR="002A2244" w:rsidRPr="002A2244" w:rsidRDefault="002A2244" w:rsidP="002A22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车辆费用</w:t>
            </w: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大巴</w:t>
            </w:r>
          </w:p>
        </w:tc>
        <w:tc>
          <w:tcPr>
            <w:tcW w:w="743" w:type="pct"/>
            <w:shd w:val="clear" w:color="000000" w:fill="FFFFFF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2A2244" w:rsidRPr="002A2244" w:rsidRDefault="00744EFA" w:rsidP="002A2244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22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2A2244" w:rsidRPr="002A2244" w:rsidRDefault="00B05FEB" w:rsidP="002A224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第一日接站，第二日</w:t>
            </w:r>
          </w:p>
        </w:tc>
      </w:tr>
      <w:tr w:rsidR="002A2244" w:rsidRPr="002A2244" w:rsidTr="002A2244">
        <w:trPr>
          <w:trHeight w:val="348"/>
        </w:trPr>
        <w:tc>
          <w:tcPr>
            <w:tcW w:w="620" w:type="pct"/>
            <w:vMerge/>
            <w:vAlign w:val="center"/>
            <w:hideMark/>
          </w:tcPr>
          <w:p w:rsidR="002A2244" w:rsidRPr="002A2244" w:rsidRDefault="002A2244" w:rsidP="002A22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GL8</w:t>
            </w:r>
          </w:p>
        </w:tc>
        <w:tc>
          <w:tcPr>
            <w:tcW w:w="743" w:type="pct"/>
            <w:shd w:val="clear" w:color="000000" w:fill="FFFFFF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2A2244" w:rsidRPr="002A2244" w:rsidRDefault="00744EFA" w:rsidP="002A2244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2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2A2244" w:rsidRPr="002A2244" w:rsidRDefault="002A2244" w:rsidP="002A224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</w:tbl>
    <w:p w:rsidR="002A2244" w:rsidRPr="002A2244" w:rsidRDefault="002A2244" w:rsidP="002A2244">
      <w:pPr>
        <w:spacing w:line="360" w:lineRule="auto"/>
        <w:rPr>
          <w:sz w:val="24"/>
          <w:szCs w:val="24"/>
        </w:rPr>
      </w:pPr>
    </w:p>
    <w:sectPr w:rsidR="002A2244" w:rsidRPr="002A2244" w:rsidSect="00D52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2244"/>
    <w:rsid w:val="00143CC7"/>
    <w:rsid w:val="002A2244"/>
    <w:rsid w:val="00744EFA"/>
    <w:rsid w:val="00871B3D"/>
    <w:rsid w:val="00B05FEB"/>
    <w:rsid w:val="00D5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593</Characters>
  <Application>Microsoft Office Word</Application>
  <DocSecurity>0</DocSecurity>
  <Lines>4</Lines>
  <Paragraphs>1</Paragraphs>
  <ScaleCrop>false</ScaleCrop>
  <Company>P R C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2023-09-01T08:39:00Z</dcterms:created>
  <dcterms:modified xsi:type="dcterms:W3CDTF">2023-09-01T09:14:00Z</dcterms:modified>
</cp:coreProperties>
</file>